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5C" w:rsidRDefault="00444F5C">
      <w:r w:rsidRPr="00444F5C">
        <w:rPr>
          <w:noProof/>
          <w:lang w:val="en-GB" w:eastAsia="ja-JP"/>
        </w:rPr>
        <w:drawing>
          <wp:inline distT="0" distB="0" distL="0" distR="0">
            <wp:extent cx="3486150" cy="15736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8174" cy="1583604"/>
                    </a:xfrm>
                    <a:prstGeom prst="rect">
                      <a:avLst/>
                    </a:prstGeom>
                    <a:noFill/>
                    <a:ln>
                      <a:noFill/>
                    </a:ln>
                  </pic:spPr>
                </pic:pic>
              </a:graphicData>
            </a:graphic>
          </wp:inline>
        </w:drawing>
      </w:r>
    </w:p>
    <w:p w:rsidR="00444F5C" w:rsidRDefault="00444F5C" w:rsidP="00FC2426">
      <w:pPr>
        <w:jc w:val="center"/>
      </w:pPr>
      <w:r w:rsidRPr="00444F5C">
        <w:rPr>
          <w:b/>
          <w:sz w:val="28"/>
          <w:szCs w:val="28"/>
        </w:rPr>
        <w:t>GUIDELINES FOR TESTING FOR FRAGILE X</w:t>
      </w:r>
    </w:p>
    <w:p w:rsidR="00444F5C" w:rsidRPr="00565A65" w:rsidRDefault="00444F5C" w:rsidP="00444F5C">
      <w:pPr>
        <w:rPr>
          <w:sz w:val="24"/>
          <w:szCs w:val="24"/>
        </w:rPr>
      </w:pPr>
      <w:r w:rsidRPr="00565A65">
        <w:rPr>
          <w:sz w:val="24"/>
          <w:szCs w:val="24"/>
        </w:rPr>
        <w:t>In Australia government funding for fragile X testing allows for the following clinical indications:</w:t>
      </w:r>
    </w:p>
    <w:p w:rsidR="00444F5C" w:rsidRPr="00565A65" w:rsidRDefault="00444F5C" w:rsidP="00565A65">
      <w:pPr>
        <w:pStyle w:val="ListParagraph"/>
        <w:numPr>
          <w:ilvl w:val="0"/>
          <w:numId w:val="2"/>
        </w:numPr>
        <w:rPr>
          <w:sz w:val="24"/>
          <w:szCs w:val="24"/>
        </w:rPr>
      </w:pPr>
      <w:r w:rsidRPr="00565A65">
        <w:rPr>
          <w:sz w:val="24"/>
          <w:szCs w:val="24"/>
        </w:rPr>
        <w:t>Intellectual disability, ataxia, neurodegeneration, or premature ovarian failure consistent with an FMR1 mutation;</w:t>
      </w:r>
    </w:p>
    <w:p w:rsidR="00444F5C" w:rsidRPr="00565A65" w:rsidRDefault="00444F5C" w:rsidP="00565A65">
      <w:pPr>
        <w:pStyle w:val="ListParagraph"/>
        <w:numPr>
          <w:ilvl w:val="0"/>
          <w:numId w:val="2"/>
        </w:numPr>
        <w:rPr>
          <w:sz w:val="24"/>
          <w:szCs w:val="24"/>
        </w:rPr>
      </w:pPr>
      <w:r w:rsidRPr="00565A65">
        <w:rPr>
          <w:sz w:val="24"/>
          <w:szCs w:val="24"/>
        </w:rPr>
        <w:t>The patient has a relative with a FMR1 mutation.</w:t>
      </w:r>
    </w:p>
    <w:p w:rsidR="00444F5C" w:rsidRPr="00565A65" w:rsidRDefault="00444F5C" w:rsidP="00444F5C">
      <w:pPr>
        <w:rPr>
          <w:sz w:val="24"/>
          <w:szCs w:val="24"/>
        </w:rPr>
      </w:pPr>
      <w:r w:rsidRPr="00565A65">
        <w:rPr>
          <w:sz w:val="24"/>
          <w:szCs w:val="24"/>
        </w:rPr>
        <w:t>These terms are broad based and overlap clinically. Patients can present with subtle features of the above terms and should be tested for the following indications:</w:t>
      </w:r>
    </w:p>
    <w:p w:rsidR="00444F5C" w:rsidRPr="00565A65" w:rsidRDefault="00444F5C" w:rsidP="00565A65">
      <w:pPr>
        <w:pStyle w:val="ListParagraph"/>
        <w:numPr>
          <w:ilvl w:val="0"/>
          <w:numId w:val="2"/>
        </w:numPr>
        <w:rPr>
          <w:sz w:val="24"/>
          <w:szCs w:val="24"/>
        </w:rPr>
      </w:pPr>
      <w:r w:rsidRPr="00565A65">
        <w:rPr>
          <w:sz w:val="24"/>
          <w:szCs w:val="24"/>
        </w:rPr>
        <w:t>Intelligence problems, ranging from learning disabilities to severe mental retardation.</w:t>
      </w:r>
    </w:p>
    <w:p w:rsidR="00444F5C" w:rsidRPr="00565A65" w:rsidRDefault="00444F5C" w:rsidP="00565A65">
      <w:pPr>
        <w:pStyle w:val="ListParagraph"/>
        <w:numPr>
          <w:ilvl w:val="0"/>
          <w:numId w:val="2"/>
        </w:numPr>
        <w:rPr>
          <w:sz w:val="24"/>
          <w:szCs w:val="24"/>
        </w:rPr>
      </w:pPr>
      <w:r w:rsidRPr="00565A65">
        <w:rPr>
          <w:sz w:val="24"/>
          <w:szCs w:val="24"/>
        </w:rPr>
        <w:t>Social and emotional problems, such as aggression or shyness.</w:t>
      </w:r>
    </w:p>
    <w:p w:rsidR="00444F5C" w:rsidRPr="00565A65" w:rsidRDefault="00444F5C" w:rsidP="00565A65">
      <w:pPr>
        <w:pStyle w:val="ListParagraph"/>
        <w:numPr>
          <w:ilvl w:val="0"/>
          <w:numId w:val="2"/>
        </w:numPr>
        <w:rPr>
          <w:sz w:val="24"/>
          <w:szCs w:val="24"/>
        </w:rPr>
      </w:pPr>
      <w:r w:rsidRPr="00565A65">
        <w:rPr>
          <w:sz w:val="24"/>
          <w:szCs w:val="24"/>
        </w:rPr>
        <w:t>Autism.</w:t>
      </w:r>
    </w:p>
    <w:p w:rsidR="00444F5C" w:rsidRPr="00565A65" w:rsidRDefault="00444F5C" w:rsidP="00565A65">
      <w:pPr>
        <w:pStyle w:val="ListParagraph"/>
        <w:numPr>
          <w:ilvl w:val="0"/>
          <w:numId w:val="2"/>
        </w:numPr>
        <w:rPr>
          <w:sz w:val="24"/>
          <w:szCs w:val="24"/>
        </w:rPr>
      </w:pPr>
      <w:r w:rsidRPr="00565A65">
        <w:rPr>
          <w:sz w:val="24"/>
          <w:szCs w:val="24"/>
        </w:rPr>
        <w:t>Attention Deficit and Hyperactivity Disorder (ADHD)</w:t>
      </w:r>
    </w:p>
    <w:p w:rsidR="00444F5C" w:rsidRPr="00565A65" w:rsidRDefault="00444F5C" w:rsidP="00565A65">
      <w:pPr>
        <w:pStyle w:val="ListParagraph"/>
        <w:numPr>
          <w:ilvl w:val="0"/>
          <w:numId w:val="2"/>
        </w:numPr>
        <w:rPr>
          <w:sz w:val="24"/>
          <w:szCs w:val="24"/>
        </w:rPr>
      </w:pPr>
      <w:r w:rsidRPr="00565A65">
        <w:rPr>
          <w:sz w:val="24"/>
          <w:szCs w:val="24"/>
        </w:rPr>
        <w:t>Developmental delay.</w:t>
      </w:r>
    </w:p>
    <w:p w:rsidR="00444F5C" w:rsidRPr="00565A65" w:rsidRDefault="00444F5C" w:rsidP="00565A65">
      <w:pPr>
        <w:pStyle w:val="ListParagraph"/>
        <w:numPr>
          <w:ilvl w:val="0"/>
          <w:numId w:val="2"/>
        </w:numPr>
        <w:rPr>
          <w:sz w:val="24"/>
          <w:szCs w:val="24"/>
        </w:rPr>
      </w:pPr>
      <w:r w:rsidRPr="00565A65">
        <w:rPr>
          <w:sz w:val="24"/>
          <w:szCs w:val="24"/>
        </w:rPr>
        <w:t>Speech and language problems.</w:t>
      </w:r>
    </w:p>
    <w:p w:rsidR="00444F5C" w:rsidRPr="00565A65" w:rsidRDefault="00444F5C" w:rsidP="00565A65">
      <w:pPr>
        <w:pStyle w:val="ListParagraph"/>
        <w:numPr>
          <w:ilvl w:val="0"/>
          <w:numId w:val="2"/>
        </w:numPr>
        <w:rPr>
          <w:sz w:val="24"/>
          <w:szCs w:val="24"/>
        </w:rPr>
      </w:pPr>
      <w:r w:rsidRPr="00565A65">
        <w:rPr>
          <w:sz w:val="24"/>
          <w:szCs w:val="24"/>
        </w:rPr>
        <w:t>Clinical indications suggestive of FXPOI: irregular periods, elevated levels of follicle stimulating hormone, fertility problems or premature ovarian failure (POF)</w:t>
      </w:r>
    </w:p>
    <w:p w:rsidR="00444F5C" w:rsidRPr="00565A65" w:rsidRDefault="00444F5C" w:rsidP="00565A65">
      <w:pPr>
        <w:pStyle w:val="ListParagraph"/>
        <w:numPr>
          <w:ilvl w:val="0"/>
          <w:numId w:val="2"/>
        </w:numPr>
        <w:rPr>
          <w:sz w:val="24"/>
          <w:szCs w:val="24"/>
        </w:rPr>
      </w:pPr>
      <w:r w:rsidRPr="00565A65">
        <w:rPr>
          <w:sz w:val="24"/>
          <w:szCs w:val="24"/>
        </w:rPr>
        <w:t>Clinical indications suggestive of FXTAS: late onset tremor and ataxia, balance problems, or features similar to Parkinson’s disease.</w:t>
      </w:r>
    </w:p>
    <w:p w:rsidR="0010093F" w:rsidRPr="00FC2426" w:rsidRDefault="0010093F" w:rsidP="00FC2426">
      <w:pPr>
        <w:autoSpaceDE w:val="0"/>
        <w:autoSpaceDN w:val="0"/>
        <w:adjustRightInd w:val="0"/>
        <w:spacing w:after="0" w:line="240" w:lineRule="auto"/>
        <w:rPr>
          <w:sz w:val="20"/>
          <w:szCs w:val="20"/>
        </w:rPr>
      </w:pPr>
      <w:r w:rsidRPr="00565A65">
        <w:rPr>
          <w:sz w:val="24"/>
          <w:szCs w:val="24"/>
        </w:rPr>
        <w:t xml:space="preserve">These presentations can be applied to Medicare item numbers </w:t>
      </w:r>
      <w:r w:rsidR="00565A65" w:rsidRPr="00565A65">
        <w:rPr>
          <w:sz w:val="24"/>
          <w:szCs w:val="24"/>
        </w:rPr>
        <w:t>73300 and 73305.</w:t>
      </w:r>
      <w:r w:rsidR="00565A65">
        <w:rPr>
          <w:sz w:val="24"/>
          <w:szCs w:val="24"/>
        </w:rPr>
        <w:br/>
      </w:r>
      <w:r w:rsidR="00565A65">
        <w:rPr>
          <w:sz w:val="24"/>
          <w:szCs w:val="24"/>
        </w:rPr>
        <w:br/>
      </w:r>
      <w:r w:rsidR="00565A65" w:rsidRPr="00FC2426">
        <w:rPr>
          <w:sz w:val="20"/>
          <w:szCs w:val="20"/>
        </w:rPr>
        <w:t>Ref: Human Genetics Society of Australasia, April 2015.</w:t>
      </w:r>
      <w:r w:rsidR="00FC2426">
        <w:rPr>
          <w:sz w:val="20"/>
          <w:szCs w:val="20"/>
        </w:rPr>
        <w:br/>
      </w:r>
    </w:p>
    <w:p w:rsidR="0021595B" w:rsidRDefault="0021595B" w:rsidP="0078778B">
      <w:pPr>
        <w:pBdr>
          <w:top w:val="single" w:sz="4" w:space="1" w:color="auto"/>
          <w:left w:val="single" w:sz="4" w:space="4" w:color="auto"/>
          <w:bottom w:val="single" w:sz="4" w:space="1" w:color="auto"/>
          <w:right w:val="single" w:sz="4" w:space="4" w:color="auto"/>
        </w:pBdr>
      </w:pPr>
      <w:r w:rsidRPr="0021595B">
        <w:rPr>
          <w:b/>
        </w:rPr>
        <w:t>PLEASE NOTE:</w:t>
      </w:r>
      <w:r w:rsidR="00FC2426">
        <w:rPr>
          <w:b/>
        </w:rPr>
        <w:br/>
      </w:r>
      <w:r>
        <w:t xml:space="preserve">Both the </w:t>
      </w:r>
      <w:r w:rsidRPr="0021595B">
        <w:rPr>
          <w:b/>
        </w:rPr>
        <w:t>American College of Obstetricians and Gynaecologists</w:t>
      </w:r>
      <w:r>
        <w:t xml:space="preserve"> </w:t>
      </w:r>
      <w:r w:rsidRPr="0021595B">
        <w:rPr>
          <w:b/>
        </w:rPr>
        <w:t>(ACOG)</w:t>
      </w:r>
      <w:r>
        <w:t xml:space="preserve"> and </w:t>
      </w:r>
      <w:r w:rsidRPr="0021595B">
        <w:rPr>
          <w:b/>
        </w:rPr>
        <w:t>Royal Australian and New Zealand College of Obstetricians and Gynaecologists (RANZCOG)</w:t>
      </w:r>
      <w:r>
        <w:t xml:space="preserve"> now support carrier screening including for FXS and in particular recommend this is best offered prior to pregnancy in order to allow more options for subsequent management.  Links to the relevant position statements are below:</w:t>
      </w:r>
    </w:p>
    <w:p w:rsidR="00D2491A" w:rsidRDefault="00D2491A" w:rsidP="0078778B">
      <w:pPr>
        <w:pBdr>
          <w:top w:val="single" w:sz="4" w:space="1" w:color="auto"/>
          <w:left w:val="single" w:sz="4" w:space="4" w:color="auto"/>
          <w:bottom w:val="single" w:sz="4" w:space="1" w:color="auto"/>
          <w:right w:val="single" w:sz="4" w:space="4" w:color="auto"/>
        </w:pBdr>
      </w:pPr>
      <w:r>
        <w:t xml:space="preserve">RANZCOG: </w:t>
      </w:r>
      <w:hyperlink r:id="rId7" w:history="1">
        <w:r w:rsidRPr="005D4A53">
          <w:rPr>
            <w:rStyle w:val="Hyperlink"/>
          </w:rPr>
          <w:t>http://bit.ly/2pvkD9r</w:t>
        </w:r>
      </w:hyperlink>
    </w:p>
    <w:p w:rsidR="00D2491A" w:rsidRDefault="00D2491A" w:rsidP="0078778B">
      <w:pPr>
        <w:pBdr>
          <w:top w:val="single" w:sz="4" w:space="1" w:color="auto"/>
          <w:left w:val="single" w:sz="4" w:space="4" w:color="auto"/>
          <w:bottom w:val="single" w:sz="4" w:space="1" w:color="auto"/>
          <w:right w:val="single" w:sz="4" w:space="4" w:color="auto"/>
        </w:pBdr>
      </w:pPr>
      <w:r>
        <w:t xml:space="preserve">ACOG: </w:t>
      </w:r>
      <w:hyperlink r:id="rId8" w:history="1">
        <w:r w:rsidRPr="005D4A53">
          <w:rPr>
            <w:rStyle w:val="Hyperlink"/>
          </w:rPr>
          <w:t>http://bit.ly/2oGcoY0</w:t>
        </w:r>
      </w:hyperlink>
    </w:p>
    <w:p w:rsidR="0021595B" w:rsidRDefault="0021595B" w:rsidP="0010093F">
      <w:bookmarkStart w:id="0" w:name="_GoBack"/>
      <w:bookmarkEnd w:id="0"/>
    </w:p>
    <w:sectPr w:rsidR="0021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791"/>
    <w:multiLevelType w:val="hybridMultilevel"/>
    <w:tmpl w:val="C542F0C2"/>
    <w:lvl w:ilvl="0" w:tplc="E9FCF6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DA3369"/>
    <w:multiLevelType w:val="hybridMultilevel"/>
    <w:tmpl w:val="0980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F35123"/>
    <w:multiLevelType w:val="hybridMultilevel"/>
    <w:tmpl w:val="154A2800"/>
    <w:lvl w:ilvl="0" w:tplc="E9FCF6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5C"/>
    <w:rsid w:val="0010093F"/>
    <w:rsid w:val="0021595B"/>
    <w:rsid w:val="00295A43"/>
    <w:rsid w:val="00345B46"/>
    <w:rsid w:val="00444F5C"/>
    <w:rsid w:val="00565A65"/>
    <w:rsid w:val="00606EE0"/>
    <w:rsid w:val="00656E71"/>
    <w:rsid w:val="0078778B"/>
    <w:rsid w:val="00D2491A"/>
    <w:rsid w:val="00EE2974"/>
    <w:rsid w:val="00FC2426"/>
    <w:rsid w:val="00FF21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65"/>
    <w:pPr>
      <w:ind w:left="720"/>
      <w:contextualSpacing/>
    </w:pPr>
  </w:style>
  <w:style w:type="paragraph" w:styleId="BalloonText">
    <w:name w:val="Balloon Text"/>
    <w:basedOn w:val="Normal"/>
    <w:link w:val="BalloonTextChar"/>
    <w:uiPriority w:val="99"/>
    <w:semiHidden/>
    <w:unhideWhenUsed/>
    <w:rsid w:val="00565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65"/>
    <w:rPr>
      <w:rFonts w:ascii="Segoe UI" w:hAnsi="Segoe UI" w:cs="Segoe UI"/>
      <w:sz w:val="18"/>
      <w:szCs w:val="18"/>
    </w:rPr>
  </w:style>
  <w:style w:type="character" w:styleId="Hyperlink">
    <w:name w:val="Hyperlink"/>
    <w:basedOn w:val="DefaultParagraphFont"/>
    <w:uiPriority w:val="99"/>
    <w:unhideWhenUsed/>
    <w:rsid w:val="0021595B"/>
    <w:rPr>
      <w:color w:val="0563C1" w:themeColor="hyperlink"/>
      <w:u w:val="single"/>
    </w:rPr>
  </w:style>
  <w:style w:type="character" w:styleId="FollowedHyperlink">
    <w:name w:val="FollowedHyperlink"/>
    <w:basedOn w:val="DefaultParagraphFont"/>
    <w:uiPriority w:val="99"/>
    <w:semiHidden/>
    <w:unhideWhenUsed/>
    <w:rsid w:val="00D249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65"/>
    <w:pPr>
      <w:ind w:left="720"/>
      <w:contextualSpacing/>
    </w:pPr>
  </w:style>
  <w:style w:type="paragraph" w:styleId="BalloonText">
    <w:name w:val="Balloon Text"/>
    <w:basedOn w:val="Normal"/>
    <w:link w:val="BalloonTextChar"/>
    <w:uiPriority w:val="99"/>
    <w:semiHidden/>
    <w:unhideWhenUsed/>
    <w:rsid w:val="00565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65"/>
    <w:rPr>
      <w:rFonts w:ascii="Segoe UI" w:hAnsi="Segoe UI" w:cs="Segoe UI"/>
      <w:sz w:val="18"/>
      <w:szCs w:val="18"/>
    </w:rPr>
  </w:style>
  <w:style w:type="character" w:styleId="Hyperlink">
    <w:name w:val="Hyperlink"/>
    <w:basedOn w:val="DefaultParagraphFont"/>
    <w:uiPriority w:val="99"/>
    <w:unhideWhenUsed/>
    <w:rsid w:val="0021595B"/>
    <w:rPr>
      <w:color w:val="0563C1" w:themeColor="hyperlink"/>
      <w:u w:val="single"/>
    </w:rPr>
  </w:style>
  <w:style w:type="character" w:styleId="FollowedHyperlink">
    <w:name w:val="FollowedHyperlink"/>
    <w:basedOn w:val="DefaultParagraphFont"/>
    <w:uiPriority w:val="99"/>
    <w:semiHidden/>
    <w:unhideWhenUsed/>
    <w:rsid w:val="00D24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oGcoY0" TargetMode="External"/><Relationship Id="rId3" Type="http://schemas.microsoft.com/office/2007/relationships/stylesWithEffects" Target="stylesWithEffects.xml"/><Relationship Id="rId7" Type="http://schemas.openxmlformats.org/officeDocument/2006/relationships/hyperlink" Target="http://bit.ly/2pvkD9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Fragile-X</dc:creator>
  <cp:keywords/>
  <dc:description/>
  <cp:lastModifiedBy>Hayashi, Aly (RX)</cp:lastModifiedBy>
  <cp:revision>9</cp:revision>
  <cp:lastPrinted>2017-04-11T03:22:00Z</cp:lastPrinted>
  <dcterms:created xsi:type="dcterms:W3CDTF">2017-04-11T02:32:00Z</dcterms:created>
  <dcterms:modified xsi:type="dcterms:W3CDTF">2017-05-01T08:53:00Z</dcterms:modified>
</cp:coreProperties>
</file>